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郎江魏</w:t>
      </w:r>
      <w:r>
        <w:rPr>
          <w:rFonts w:hint="eastAsia"/>
          <w:sz w:val="15"/>
          <w:szCs w:val="15"/>
          <w:highlight w:val="none"/>
        </w:rPr>
        <w:t>，</w:t>
      </w:r>
      <w:r>
        <w:rPr>
          <w:rFonts w:hint="eastAsia"/>
          <w:sz w:val="15"/>
          <w:szCs w:val="15"/>
          <w:highlight w:val="none"/>
          <w:lang w:val="en-US" w:eastAsia="zh-CN"/>
        </w:rPr>
        <w:t>130131198509183619</w:t>
      </w:r>
      <w:r>
        <w:rPr>
          <w:rFonts w:hint="eastAsia"/>
          <w:sz w:val="15"/>
          <w:szCs w:val="15"/>
        </w:rPr>
        <w:t xml:space="preserve">  </w:t>
      </w:r>
      <w:r>
        <w:rPr>
          <w:rFonts w:hint="eastAsia"/>
          <w:sz w:val="15"/>
          <w:szCs w:val="15"/>
          <w:lang w:val="en-US" w:eastAsia="zh-CN"/>
        </w:rPr>
        <w:t>冀AKM379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