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侠永飞</w:t>
      </w:r>
      <w:r>
        <w:rPr>
          <w:rFonts w:hint="eastAsia"/>
          <w:sz w:val="15"/>
          <w:szCs w:val="15"/>
          <w:highlight w:val="none"/>
        </w:rPr>
        <w:t>，</w:t>
      </w:r>
      <w:r>
        <w:rPr>
          <w:rFonts w:hint="eastAsia"/>
          <w:sz w:val="15"/>
          <w:szCs w:val="15"/>
          <w:highlight w:val="none"/>
          <w:lang w:val="en-US" w:eastAsia="zh-CN"/>
        </w:rPr>
        <w:t>130131198509151211</w:t>
      </w:r>
      <w:r>
        <w:rPr>
          <w:rFonts w:hint="eastAsia"/>
          <w:sz w:val="15"/>
          <w:szCs w:val="15"/>
        </w:rPr>
        <w:t xml:space="preserve">  </w:t>
      </w:r>
      <w:r>
        <w:rPr>
          <w:rFonts w:hint="eastAsia"/>
          <w:sz w:val="15"/>
          <w:szCs w:val="15"/>
          <w:lang w:val="en-US" w:eastAsia="zh-CN"/>
        </w:rPr>
        <w:t>沪A88593D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