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米永刚</w:t>
      </w:r>
      <w:r>
        <w:rPr>
          <w:rFonts w:hint="eastAsia"/>
          <w:sz w:val="15"/>
          <w:szCs w:val="15"/>
          <w:highlight w:val="none"/>
        </w:rPr>
        <w:t>，</w:t>
      </w:r>
      <w:r>
        <w:rPr>
          <w:rFonts w:hint="eastAsia"/>
          <w:sz w:val="15"/>
          <w:szCs w:val="15"/>
          <w:highlight w:val="none"/>
          <w:lang w:val="en-US" w:eastAsia="zh-CN"/>
        </w:rPr>
        <w:t>130131198509090615</w:t>
      </w:r>
      <w:r>
        <w:rPr>
          <w:rFonts w:hint="eastAsia"/>
          <w:sz w:val="15"/>
          <w:szCs w:val="15"/>
        </w:rPr>
        <w:t xml:space="preserve">  </w:t>
      </w:r>
      <w:r>
        <w:rPr>
          <w:rFonts w:hint="eastAsia"/>
          <w:sz w:val="15"/>
          <w:szCs w:val="15"/>
          <w:lang w:val="en-US" w:eastAsia="zh-CN"/>
        </w:rPr>
        <w:t>冀A685J5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