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张新刚</w:t>
      </w:r>
      <w:r>
        <w:rPr>
          <w:rFonts w:hint="eastAsia"/>
          <w:sz w:val="15"/>
          <w:szCs w:val="15"/>
          <w:highlight w:val="none"/>
        </w:rPr>
        <w:t>，</w:t>
      </w:r>
      <w:r>
        <w:rPr>
          <w:rFonts w:hint="eastAsia"/>
          <w:sz w:val="15"/>
          <w:szCs w:val="15"/>
          <w:highlight w:val="none"/>
          <w:lang w:val="en-US" w:eastAsia="zh-CN"/>
        </w:rPr>
        <w:t>130131198507263914</w:t>
      </w:r>
      <w:r>
        <w:rPr>
          <w:rFonts w:hint="eastAsia"/>
          <w:sz w:val="15"/>
          <w:szCs w:val="15"/>
        </w:rPr>
        <w:t xml:space="preserve">  </w:t>
      </w:r>
      <w:r>
        <w:rPr>
          <w:rFonts w:hint="eastAsia"/>
          <w:sz w:val="15"/>
          <w:szCs w:val="15"/>
          <w:lang w:val="en-US" w:eastAsia="zh-CN"/>
        </w:rPr>
        <w:t>冀A48515</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