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马志龙</w:t>
      </w:r>
      <w:r>
        <w:rPr>
          <w:rFonts w:hint="eastAsia"/>
          <w:sz w:val="15"/>
          <w:szCs w:val="15"/>
          <w:highlight w:val="none"/>
        </w:rPr>
        <w:t>，</w:t>
      </w:r>
      <w:r>
        <w:rPr>
          <w:rFonts w:hint="eastAsia"/>
          <w:sz w:val="15"/>
          <w:szCs w:val="15"/>
          <w:highlight w:val="none"/>
          <w:lang w:val="en-US" w:eastAsia="zh-CN"/>
        </w:rPr>
        <w:t>13013119850722005X</w:t>
      </w:r>
      <w:r>
        <w:rPr>
          <w:rFonts w:hint="eastAsia"/>
          <w:sz w:val="15"/>
          <w:szCs w:val="15"/>
        </w:rPr>
        <w:t xml:space="preserve">  </w:t>
      </w:r>
      <w:r>
        <w:rPr>
          <w:rFonts w:hint="eastAsia"/>
          <w:sz w:val="15"/>
          <w:szCs w:val="15"/>
          <w:lang w:val="en-US" w:eastAsia="zh-CN"/>
        </w:rPr>
        <w:t>冀AP5703</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