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徐彦刚</w:t>
      </w:r>
      <w:r>
        <w:rPr>
          <w:rFonts w:hint="eastAsia"/>
          <w:sz w:val="15"/>
          <w:szCs w:val="15"/>
          <w:highlight w:val="none"/>
        </w:rPr>
        <w:t>，</w:t>
      </w:r>
      <w:r>
        <w:rPr>
          <w:rFonts w:hint="eastAsia"/>
          <w:sz w:val="15"/>
          <w:szCs w:val="15"/>
          <w:highlight w:val="none"/>
          <w:lang w:val="en-US" w:eastAsia="zh-CN"/>
        </w:rPr>
        <w:t>13013119850625061X</w:t>
      </w:r>
      <w:r>
        <w:rPr>
          <w:rFonts w:hint="eastAsia"/>
          <w:sz w:val="15"/>
          <w:szCs w:val="15"/>
        </w:rPr>
        <w:t xml:space="preserve">  </w:t>
      </w:r>
      <w:r>
        <w:rPr>
          <w:rFonts w:hint="eastAsia"/>
          <w:sz w:val="15"/>
          <w:szCs w:val="15"/>
          <w:lang w:val="en-US" w:eastAsia="zh-CN"/>
        </w:rPr>
        <w:t>冀A72M15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