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韩江虎</w:t>
      </w:r>
      <w:r>
        <w:rPr>
          <w:rFonts w:hint="eastAsia"/>
          <w:sz w:val="15"/>
          <w:szCs w:val="15"/>
          <w:highlight w:val="none"/>
        </w:rPr>
        <w:t>，</w:t>
      </w:r>
      <w:r>
        <w:rPr>
          <w:rFonts w:hint="eastAsia"/>
          <w:sz w:val="15"/>
          <w:szCs w:val="15"/>
          <w:highlight w:val="none"/>
          <w:lang w:val="en-US" w:eastAsia="zh-CN"/>
        </w:rPr>
        <w:t>130131198506024532</w:t>
      </w:r>
      <w:r>
        <w:rPr>
          <w:rFonts w:hint="eastAsia"/>
          <w:sz w:val="15"/>
          <w:szCs w:val="15"/>
        </w:rPr>
        <w:t xml:space="preserve">  </w:t>
      </w:r>
      <w:r>
        <w:rPr>
          <w:rFonts w:hint="eastAsia"/>
          <w:sz w:val="15"/>
          <w:szCs w:val="15"/>
          <w:lang w:val="en-US" w:eastAsia="zh-CN"/>
        </w:rPr>
        <w:t>冀A2R973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