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唐学龙</w:t>
      </w:r>
      <w:r>
        <w:rPr>
          <w:rFonts w:hint="eastAsia"/>
          <w:sz w:val="15"/>
          <w:szCs w:val="15"/>
          <w:highlight w:val="none"/>
        </w:rPr>
        <w:t>，</w:t>
      </w:r>
      <w:r>
        <w:rPr>
          <w:rFonts w:hint="eastAsia"/>
          <w:sz w:val="15"/>
          <w:szCs w:val="15"/>
          <w:highlight w:val="none"/>
          <w:lang w:val="en-US" w:eastAsia="zh-CN"/>
        </w:rPr>
        <w:t>130131198504142113</w:t>
      </w:r>
      <w:r>
        <w:rPr>
          <w:rFonts w:hint="eastAsia"/>
          <w:sz w:val="15"/>
          <w:szCs w:val="15"/>
        </w:rPr>
        <w:t xml:space="preserve">  </w:t>
      </w:r>
      <w:r>
        <w:rPr>
          <w:rFonts w:hint="eastAsia"/>
          <w:sz w:val="15"/>
          <w:szCs w:val="15"/>
          <w:lang w:val="en-US" w:eastAsia="zh-CN"/>
        </w:rPr>
        <w:t>冀A8532Z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