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秦江伟</w:t>
      </w:r>
      <w:r>
        <w:rPr>
          <w:rFonts w:hint="eastAsia"/>
          <w:sz w:val="15"/>
          <w:szCs w:val="15"/>
          <w:highlight w:val="none"/>
        </w:rPr>
        <w:t>，</w:t>
      </w:r>
      <w:r>
        <w:rPr>
          <w:rFonts w:hint="eastAsia"/>
          <w:sz w:val="15"/>
          <w:szCs w:val="15"/>
          <w:highlight w:val="none"/>
          <w:lang w:val="en-US" w:eastAsia="zh-CN"/>
        </w:rPr>
        <w:t>130131198501174515</w:t>
      </w:r>
      <w:r>
        <w:rPr>
          <w:rFonts w:hint="eastAsia"/>
          <w:sz w:val="15"/>
          <w:szCs w:val="15"/>
        </w:rPr>
        <w:t xml:space="preserve">  </w:t>
      </w:r>
      <w:r>
        <w:rPr>
          <w:rFonts w:hint="eastAsia"/>
          <w:sz w:val="15"/>
          <w:szCs w:val="15"/>
          <w:lang w:val="en-US" w:eastAsia="zh-CN"/>
        </w:rPr>
        <w:t>冀A734LC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