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李二勇</w:t>
      </w:r>
      <w:r>
        <w:rPr>
          <w:rFonts w:hint="eastAsia"/>
          <w:sz w:val="15"/>
          <w:szCs w:val="15"/>
          <w:highlight w:val="none"/>
        </w:rPr>
        <w:t>，</w:t>
      </w:r>
      <w:r>
        <w:rPr>
          <w:rFonts w:hint="eastAsia"/>
          <w:sz w:val="15"/>
          <w:szCs w:val="15"/>
          <w:highlight w:val="none"/>
          <w:lang w:val="en-US" w:eastAsia="zh-CN"/>
        </w:rPr>
        <w:t>130131198412293619</w:t>
      </w:r>
      <w:r>
        <w:rPr>
          <w:rFonts w:hint="eastAsia"/>
          <w:sz w:val="15"/>
          <w:szCs w:val="15"/>
        </w:rPr>
        <w:t xml:space="preserve">  </w:t>
      </w:r>
      <w:r>
        <w:rPr>
          <w:rFonts w:hint="eastAsia"/>
          <w:sz w:val="15"/>
          <w:szCs w:val="15"/>
          <w:lang w:val="en-US" w:eastAsia="zh-CN"/>
        </w:rPr>
        <w:t>冀AQP593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