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张晓燕</w:t>
      </w:r>
      <w:r>
        <w:rPr>
          <w:rFonts w:hint="eastAsia"/>
          <w:sz w:val="15"/>
          <w:szCs w:val="15"/>
          <w:highlight w:val="none"/>
        </w:rPr>
        <w:t>，</w:t>
      </w:r>
      <w:r>
        <w:rPr>
          <w:rFonts w:hint="eastAsia"/>
          <w:sz w:val="15"/>
          <w:szCs w:val="15"/>
          <w:highlight w:val="none"/>
          <w:lang w:val="en-US" w:eastAsia="zh-CN"/>
        </w:rPr>
        <w:t>130131198411052426</w:t>
      </w:r>
      <w:r>
        <w:rPr>
          <w:rFonts w:hint="eastAsia"/>
          <w:sz w:val="15"/>
          <w:szCs w:val="15"/>
        </w:rPr>
        <w:t xml:space="preserve">  </w:t>
      </w:r>
      <w:r>
        <w:rPr>
          <w:rFonts w:hint="eastAsia"/>
          <w:sz w:val="15"/>
          <w:szCs w:val="15"/>
          <w:lang w:val="en-US" w:eastAsia="zh-CN"/>
        </w:rPr>
        <w:t>沪A83776D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