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刘伟</w:t>
      </w:r>
      <w:r>
        <w:rPr>
          <w:rFonts w:hint="eastAsia"/>
          <w:sz w:val="15"/>
          <w:szCs w:val="15"/>
          <w:highlight w:val="none"/>
        </w:rPr>
        <w:t>，</w:t>
      </w:r>
      <w:r>
        <w:rPr>
          <w:rFonts w:hint="eastAsia"/>
          <w:sz w:val="15"/>
          <w:szCs w:val="15"/>
          <w:highlight w:val="none"/>
          <w:lang w:val="en-US" w:eastAsia="zh-CN"/>
        </w:rPr>
        <w:t>130131198410224214</w:t>
      </w:r>
      <w:r>
        <w:rPr>
          <w:rFonts w:hint="eastAsia"/>
          <w:sz w:val="15"/>
          <w:szCs w:val="15"/>
        </w:rPr>
        <w:t xml:space="preserve">  </w:t>
      </w:r>
      <w:r>
        <w:rPr>
          <w:rFonts w:hint="eastAsia"/>
          <w:sz w:val="15"/>
          <w:szCs w:val="15"/>
          <w:lang w:val="en-US" w:eastAsia="zh-CN"/>
        </w:rPr>
        <w:t>沪A89802D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