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韩新安</w:t>
      </w:r>
      <w:r>
        <w:rPr>
          <w:rFonts w:hint="eastAsia"/>
          <w:sz w:val="15"/>
          <w:szCs w:val="15"/>
          <w:highlight w:val="none"/>
        </w:rPr>
        <w:t>，</w:t>
      </w:r>
      <w:r>
        <w:rPr>
          <w:rFonts w:hint="eastAsia"/>
          <w:sz w:val="15"/>
          <w:szCs w:val="15"/>
          <w:highlight w:val="none"/>
          <w:lang w:val="en-US" w:eastAsia="zh-CN"/>
        </w:rPr>
        <w:t>130131198410221515</w:t>
      </w:r>
      <w:r>
        <w:rPr>
          <w:rFonts w:hint="eastAsia"/>
          <w:sz w:val="15"/>
          <w:szCs w:val="15"/>
        </w:rPr>
        <w:t xml:space="preserve">  </w:t>
      </w:r>
      <w:r>
        <w:rPr>
          <w:rFonts w:hint="eastAsia"/>
          <w:sz w:val="15"/>
          <w:szCs w:val="15"/>
          <w:lang w:val="en-US" w:eastAsia="zh-CN"/>
        </w:rPr>
        <w:t>冀A833QD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