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赵志朋</w:t>
      </w:r>
      <w:r>
        <w:rPr>
          <w:rFonts w:hint="eastAsia"/>
          <w:sz w:val="15"/>
          <w:szCs w:val="15"/>
          <w:highlight w:val="none"/>
        </w:rPr>
        <w:t>，</w:t>
      </w:r>
      <w:r>
        <w:rPr>
          <w:rFonts w:hint="eastAsia"/>
          <w:sz w:val="15"/>
          <w:szCs w:val="15"/>
          <w:highlight w:val="none"/>
          <w:lang w:val="en-US" w:eastAsia="zh-CN"/>
        </w:rPr>
        <w:t>13013119841001361X</w:t>
      </w:r>
      <w:r>
        <w:rPr>
          <w:rFonts w:hint="eastAsia"/>
          <w:sz w:val="15"/>
          <w:szCs w:val="15"/>
        </w:rPr>
        <w:t xml:space="preserve">  </w:t>
      </w:r>
      <w:r>
        <w:rPr>
          <w:rFonts w:hint="eastAsia"/>
          <w:sz w:val="15"/>
          <w:szCs w:val="15"/>
          <w:lang w:val="en-US" w:eastAsia="zh-CN"/>
        </w:rPr>
        <w:t>冀AP6160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