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冯尽科</w:t>
      </w:r>
      <w:r>
        <w:rPr>
          <w:rFonts w:hint="eastAsia"/>
          <w:sz w:val="15"/>
          <w:szCs w:val="15"/>
          <w:highlight w:val="none"/>
        </w:rPr>
        <w:t>，</w:t>
      </w:r>
      <w:r>
        <w:rPr>
          <w:rFonts w:hint="eastAsia"/>
          <w:sz w:val="15"/>
          <w:szCs w:val="15"/>
          <w:highlight w:val="none"/>
          <w:lang w:val="en-US" w:eastAsia="zh-CN"/>
        </w:rPr>
        <w:t>130131198409050034</w:t>
      </w:r>
      <w:r>
        <w:rPr>
          <w:rFonts w:hint="eastAsia"/>
          <w:sz w:val="15"/>
          <w:szCs w:val="15"/>
        </w:rPr>
        <w:t xml:space="preserve">  </w:t>
      </w:r>
      <w:r>
        <w:rPr>
          <w:rFonts w:hint="eastAsia"/>
          <w:sz w:val="15"/>
          <w:szCs w:val="15"/>
          <w:lang w:val="en-US" w:eastAsia="zh-CN"/>
        </w:rPr>
        <w:t>沪A00309A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