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袁彬彬</w:t>
      </w:r>
      <w:r>
        <w:rPr>
          <w:rFonts w:hint="eastAsia"/>
          <w:sz w:val="15"/>
          <w:szCs w:val="15"/>
          <w:highlight w:val="none"/>
        </w:rPr>
        <w:t>，</w:t>
      </w:r>
      <w:r>
        <w:rPr>
          <w:rFonts w:hint="eastAsia"/>
          <w:sz w:val="15"/>
          <w:szCs w:val="15"/>
          <w:highlight w:val="none"/>
          <w:lang w:val="en-US" w:eastAsia="zh-CN"/>
        </w:rPr>
        <w:t>130131198408273615</w:t>
      </w:r>
      <w:r>
        <w:rPr>
          <w:rFonts w:hint="eastAsia"/>
          <w:sz w:val="15"/>
          <w:szCs w:val="15"/>
        </w:rPr>
        <w:t xml:space="preserve">  </w:t>
      </w:r>
      <w:r>
        <w:rPr>
          <w:rFonts w:hint="eastAsia"/>
          <w:sz w:val="15"/>
          <w:szCs w:val="15"/>
          <w:lang w:val="en-US" w:eastAsia="zh-CN"/>
        </w:rPr>
        <w:t>冀AGK990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