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盖佳</w:t>
      </w:r>
      <w:r>
        <w:rPr>
          <w:rFonts w:hint="eastAsia"/>
          <w:sz w:val="15"/>
          <w:szCs w:val="15"/>
          <w:highlight w:val="none"/>
        </w:rPr>
        <w:t>，</w:t>
      </w:r>
      <w:r>
        <w:rPr>
          <w:rFonts w:hint="eastAsia"/>
          <w:sz w:val="15"/>
          <w:szCs w:val="15"/>
          <w:highlight w:val="none"/>
          <w:lang w:val="en-US" w:eastAsia="zh-CN"/>
        </w:rPr>
        <w:t>130131198408250034</w:t>
      </w:r>
      <w:r>
        <w:rPr>
          <w:rFonts w:hint="eastAsia"/>
          <w:sz w:val="15"/>
          <w:szCs w:val="15"/>
        </w:rPr>
        <w:t xml:space="preserve">  </w:t>
      </w:r>
      <w:r>
        <w:rPr>
          <w:rFonts w:hint="eastAsia"/>
          <w:sz w:val="15"/>
          <w:szCs w:val="15"/>
          <w:lang w:val="en-US" w:eastAsia="zh-CN"/>
        </w:rPr>
        <w:t>冀AE4587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