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曹玉才</w:t>
      </w:r>
      <w:r>
        <w:rPr>
          <w:rFonts w:hint="eastAsia"/>
          <w:sz w:val="15"/>
          <w:szCs w:val="15"/>
          <w:highlight w:val="none"/>
        </w:rPr>
        <w:t>，</w:t>
      </w:r>
      <w:r>
        <w:rPr>
          <w:rFonts w:hint="eastAsia"/>
          <w:sz w:val="15"/>
          <w:szCs w:val="15"/>
          <w:highlight w:val="none"/>
          <w:lang w:val="en-US" w:eastAsia="zh-CN"/>
        </w:rPr>
        <w:t>130131198407233611</w:t>
      </w:r>
      <w:r>
        <w:rPr>
          <w:rFonts w:hint="eastAsia"/>
          <w:sz w:val="15"/>
          <w:szCs w:val="15"/>
        </w:rPr>
        <w:t xml:space="preserve">  </w:t>
      </w:r>
      <w:r>
        <w:rPr>
          <w:rFonts w:hint="eastAsia"/>
          <w:sz w:val="15"/>
          <w:szCs w:val="15"/>
          <w:lang w:val="en-US" w:eastAsia="zh-CN"/>
        </w:rPr>
        <w:t>冀A48488D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