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周建强</w:t>
      </w:r>
      <w:r>
        <w:rPr>
          <w:rFonts w:hint="eastAsia"/>
          <w:sz w:val="15"/>
          <w:szCs w:val="15"/>
          <w:highlight w:val="none"/>
        </w:rPr>
        <w:t>，</w:t>
      </w:r>
      <w:r>
        <w:rPr>
          <w:rFonts w:hint="eastAsia"/>
          <w:sz w:val="15"/>
          <w:szCs w:val="15"/>
          <w:highlight w:val="none"/>
          <w:lang w:val="en-US" w:eastAsia="zh-CN"/>
        </w:rPr>
        <w:t>130131198406230910</w:t>
      </w:r>
      <w:r>
        <w:rPr>
          <w:rFonts w:hint="eastAsia"/>
          <w:sz w:val="15"/>
          <w:szCs w:val="15"/>
        </w:rPr>
        <w:t xml:space="preserve">  </w:t>
      </w:r>
      <w:r>
        <w:rPr>
          <w:rFonts w:hint="eastAsia"/>
          <w:sz w:val="15"/>
          <w:szCs w:val="15"/>
          <w:lang w:val="en-US" w:eastAsia="zh-CN"/>
        </w:rPr>
        <w:t>沪A71658D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