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李伟伟</w:t>
      </w:r>
      <w:r>
        <w:rPr>
          <w:rFonts w:hint="eastAsia"/>
          <w:sz w:val="15"/>
          <w:szCs w:val="15"/>
          <w:highlight w:val="none"/>
        </w:rPr>
        <w:t>，</w:t>
      </w:r>
      <w:r>
        <w:rPr>
          <w:rFonts w:hint="eastAsia"/>
          <w:sz w:val="15"/>
          <w:szCs w:val="15"/>
          <w:highlight w:val="none"/>
          <w:lang w:val="en-US" w:eastAsia="zh-CN"/>
        </w:rPr>
        <w:t>130131198406160617</w:t>
      </w:r>
      <w:r>
        <w:rPr>
          <w:rFonts w:hint="eastAsia"/>
          <w:sz w:val="15"/>
          <w:szCs w:val="15"/>
        </w:rPr>
        <w:t xml:space="preserve">  </w:t>
      </w:r>
      <w:r>
        <w:rPr>
          <w:rFonts w:hint="eastAsia"/>
          <w:sz w:val="15"/>
          <w:szCs w:val="15"/>
          <w:lang w:val="en-US" w:eastAsia="zh-CN"/>
        </w:rPr>
        <w:t>沪A99812D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