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刘玉波</w:t>
      </w:r>
      <w:r>
        <w:rPr>
          <w:rFonts w:hint="eastAsia"/>
          <w:sz w:val="15"/>
          <w:szCs w:val="15"/>
          <w:highlight w:val="none"/>
        </w:rPr>
        <w:t>，</w:t>
      </w:r>
      <w:r>
        <w:rPr>
          <w:rFonts w:hint="eastAsia"/>
          <w:sz w:val="15"/>
          <w:szCs w:val="15"/>
          <w:highlight w:val="none"/>
          <w:lang w:val="en-US" w:eastAsia="zh-CN"/>
        </w:rPr>
        <w:t>130131198405083912</w:t>
      </w:r>
      <w:r>
        <w:rPr>
          <w:rFonts w:hint="eastAsia"/>
          <w:sz w:val="15"/>
          <w:szCs w:val="15"/>
        </w:rPr>
        <w:t xml:space="preserve">  </w:t>
      </w:r>
      <w:r>
        <w:rPr>
          <w:rFonts w:hint="eastAsia"/>
          <w:sz w:val="15"/>
          <w:szCs w:val="15"/>
          <w:lang w:val="en-US" w:eastAsia="zh-CN"/>
        </w:rPr>
        <w:t>冀A183DD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