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安双军</w:t>
      </w:r>
      <w:r>
        <w:rPr>
          <w:rFonts w:hint="eastAsia"/>
          <w:sz w:val="15"/>
          <w:szCs w:val="15"/>
          <w:highlight w:val="none"/>
        </w:rPr>
        <w:t>，</w:t>
      </w:r>
      <w:r>
        <w:rPr>
          <w:rFonts w:hint="eastAsia"/>
          <w:sz w:val="15"/>
          <w:szCs w:val="15"/>
          <w:highlight w:val="none"/>
          <w:lang w:val="en-US" w:eastAsia="zh-CN"/>
        </w:rPr>
        <w:t>130131198404043310</w:t>
      </w:r>
      <w:r>
        <w:rPr>
          <w:rFonts w:hint="eastAsia"/>
          <w:sz w:val="15"/>
          <w:szCs w:val="15"/>
        </w:rPr>
        <w:t xml:space="preserve">  </w:t>
      </w:r>
      <w:r>
        <w:rPr>
          <w:rFonts w:hint="eastAsia"/>
          <w:sz w:val="15"/>
          <w:szCs w:val="15"/>
          <w:lang w:val="en-US" w:eastAsia="zh-CN"/>
        </w:rPr>
        <w:t>冀AU4642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