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朱立鹏</w:t>
      </w:r>
      <w:r>
        <w:rPr>
          <w:rFonts w:hint="eastAsia"/>
          <w:sz w:val="15"/>
          <w:szCs w:val="15"/>
          <w:highlight w:val="none"/>
        </w:rPr>
        <w:t>，</w:t>
      </w:r>
      <w:r>
        <w:rPr>
          <w:rFonts w:hint="eastAsia"/>
          <w:sz w:val="15"/>
          <w:szCs w:val="15"/>
          <w:highlight w:val="none"/>
          <w:lang w:val="en-US" w:eastAsia="zh-CN"/>
        </w:rPr>
        <w:t>130131198403292411</w:t>
      </w:r>
      <w:r>
        <w:rPr>
          <w:rFonts w:hint="eastAsia"/>
          <w:sz w:val="15"/>
          <w:szCs w:val="15"/>
        </w:rPr>
        <w:t xml:space="preserve">  </w:t>
      </w:r>
      <w:r>
        <w:rPr>
          <w:rFonts w:hint="eastAsia"/>
          <w:sz w:val="15"/>
          <w:szCs w:val="15"/>
          <w:lang w:val="en-US" w:eastAsia="zh-CN"/>
        </w:rPr>
        <w:t>冀AKL393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