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李丽军</w:t>
      </w:r>
      <w:r>
        <w:rPr>
          <w:rFonts w:hint="eastAsia"/>
          <w:sz w:val="15"/>
          <w:szCs w:val="15"/>
          <w:highlight w:val="none"/>
        </w:rPr>
        <w:t>，</w:t>
      </w:r>
      <w:r>
        <w:rPr>
          <w:rFonts w:hint="eastAsia"/>
          <w:sz w:val="15"/>
          <w:szCs w:val="15"/>
          <w:highlight w:val="none"/>
          <w:lang w:val="en-US" w:eastAsia="zh-CN"/>
        </w:rPr>
        <w:t>130131198402106912</w:t>
      </w:r>
      <w:r>
        <w:rPr>
          <w:rFonts w:hint="eastAsia"/>
          <w:sz w:val="15"/>
          <w:szCs w:val="15"/>
        </w:rPr>
        <w:t xml:space="preserve">  </w:t>
      </w:r>
      <w:r>
        <w:rPr>
          <w:rFonts w:hint="eastAsia"/>
          <w:sz w:val="15"/>
          <w:szCs w:val="15"/>
          <w:lang w:val="en-US" w:eastAsia="zh-CN"/>
        </w:rPr>
        <w:t>冀AKS267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