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任彦东</w:t>
      </w:r>
      <w:r>
        <w:rPr>
          <w:rFonts w:hint="eastAsia"/>
          <w:sz w:val="15"/>
          <w:szCs w:val="15"/>
          <w:highlight w:val="none"/>
        </w:rPr>
        <w:t>，</w:t>
      </w:r>
      <w:r>
        <w:rPr>
          <w:rFonts w:hint="eastAsia"/>
          <w:sz w:val="15"/>
          <w:szCs w:val="15"/>
          <w:highlight w:val="none"/>
          <w:lang w:val="en-US" w:eastAsia="zh-CN"/>
        </w:rPr>
        <w:t>130131198312073918</w:t>
      </w:r>
      <w:r>
        <w:rPr>
          <w:rFonts w:hint="eastAsia"/>
          <w:sz w:val="15"/>
          <w:szCs w:val="15"/>
        </w:rPr>
        <w:t xml:space="preserve">  </w:t>
      </w:r>
      <w:r>
        <w:rPr>
          <w:rFonts w:hint="eastAsia"/>
          <w:sz w:val="15"/>
          <w:szCs w:val="15"/>
          <w:lang w:val="en-US" w:eastAsia="zh-CN"/>
        </w:rPr>
        <w:t>冀A812CA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