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任雪锋</w:t>
      </w:r>
      <w:r>
        <w:rPr>
          <w:rFonts w:hint="eastAsia"/>
          <w:sz w:val="15"/>
          <w:szCs w:val="15"/>
          <w:highlight w:val="none"/>
        </w:rPr>
        <w:t>，</w:t>
      </w:r>
      <w:r>
        <w:rPr>
          <w:rFonts w:hint="eastAsia"/>
          <w:sz w:val="15"/>
          <w:szCs w:val="15"/>
          <w:highlight w:val="none"/>
          <w:lang w:val="en-US" w:eastAsia="zh-CN"/>
        </w:rPr>
        <w:t>130131198311133931</w:t>
      </w:r>
      <w:r>
        <w:rPr>
          <w:rFonts w:hint="eastAsia"/>
          <w:sz w:val="15"/>
          <w:szCs w:val="15"/>
        </w:rPr>
        <w:t xml:space="preserve">  </w:t>
      </w:r>
      <w:r>
        <w:rPr>
          <w:rFonts w:hint="eastAsia"/>
          <w:sz w:val="15"/>
          <w:szCs w:val="15"/>
          <w:lang w:val="en-US" w:eastAsia="zh-CN"/>
        </w:rPr>
        <w:t>冀AQ2782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