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杜卓刚</w:t>
      </w:r>
      <w:r>
        <w:rPr>
          <w:rFonts w:hint="eastAsia"/>
          <w:sz w:val="15"/>
          <w:szCs w:val="15"/>
          <w:highlight w:val="none"/>
        </w:rPr>
        <w:t>，</w:t>
      </w:r>
      <w:r>
        <w:rPr>
          <w:rFonts w:hint="eastAsia"/>
          <w:sz w:val="15"/>
          <w:szCs w:val="15"/>
          <w:highlight w:val="none"/>
          <w:lang w:val="en-US" w:eastAsia="zh-CN"/>
        </w:rPr>
        <w:t>130131198311030633</w:t>
      </w:r>
      <w:r>
        <w:rPr>
          <w:rFonts w:hint="eastAsia"/>
          <w:sz w:val="15"/>
          <w:szCs w:val="15"/>
        </w:rPr>
        <w:t xml:space="preserve">  </w:t>
      </w:r>
      <w:r>
        <w:rPr>
          <w:rFonts w:hint="eastAsia"/>
          <w:sz w:val="15"/>
          <w:szCs w:val="15"/>
          <w:lang w:val="en-US" w:eastAsia="zh-CN"/>
        </w:rPr>
        <w:t>冀ADG098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