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李果</w:t>
      </w:r>
      <w:r>
        <w:rPr>
          <w:rFonts w:hint="eastAsia"/>
          <w:sz w:val="15"/>
          <w:szCs w:val="15"/>
          <w:highlight w:val="none"/>
        </w:rPr>
        <w:t>，</w:t>
      </w:r>
      <w:r>
        <w:rPr>
          <w:rFonts w:hint="eastAsia"/>
          <w:sz w:val="15"/>
          <w:szCs w:val="15"/>
          <w:highlight w:val="none"/>
          <w:lang w:val="en-US" w:eastAsia="zh-CN"/>
        </w:rPr>
        <w:t>130131198310194222</w:t>
      </w:r>
      <w:r>
        <w:rPr>
          <w:rFonts w:hint="eastAsia"/>
          <w:sz w:val="15"/>
          <w:szCs w:val="15"/>
        </w:rPr>
        <w:t xml:space="preserve">  </w:t>
      </w:r>
      <w:r>
        <w:rPr>
          <w:rFonts w:hint="eastAsia"/>
          <w:sz w:val="15"/>
          <w:szCs w:val="15"/>
          <w:lang w:val="en-US" w:eastAsia="zh-CN"/>
        </w:rPr>
        <w:t>冀A4B467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