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左金朋</w:t>
      </w:r>
      <w:r>
        <w:rPr>
          <w:rFonts w:hint="eastAsia"/>
          <w:sz w:val="15"/>
          <w:szCs w:val="15"/>
          <w:highlight w:val="none"/>
        </w:rPr>
        <w:t>，</w:t>
      </w:r>
      <w:r>
        <w:rPr>
          <w:rFonts w:hint="eastAsia"/>
          <w:sz w:val="15"/>
          <w:szCs w:val="15"/>
          <w:highlight w:val="none"/>
          <w:lang w:val="en-US" w:eastAsia="zh-CN"/>
        </w:rPr>
        <w:t>130131198309100639</w:t>
      </w:r>
      <w:r>
        <w:rPr>
          <w:rFonts w:hint="eastAsia"/>
          <w:sz w:val="15"/>
          <w:szCs w:val="15"/>
        </w:rPr>
        <w:t xml:space="preserve">  </w:t>
      </w:r>
      <w:r>
        <w:rPr>
          <w:rFonts w:hint="eastAsia"/>
          <w:sz w:val="15"/>
          <w:szCs w:val="15"/>
          <w:lang w:val="en-US" w:eastAsia="zh-CN"/>
        </w:rPr>
        <w:t>冀A1849L</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