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高新梅</w:t>
      </w:r>
      <w:r>
        <w:rPr>
          <w:rFonts w:hint="eastAsia"/>
          <w:sz w:val="15"/>
          <w:szCs w:val="15"/>
          <w:highlight w:val="none"/>
        </w:rPr>
        <w:t>，</w:t>
      </w:r>
      <w:r>
        <w:rPr>
          <w:rFonts w:hint="eastAsia"/>
          <w:sz w:val="15"/>
          <w:szCs w:val="15"/>
          <w:highlight w:val="none"/>
          <w:lang w:val="en-US" w:eastAsia="zh-CN"/>
        </w:rPr>
        <w:t>130131198307152144</w:t>
      </w:r>
      <w:r>
        <w:rPr>
          <w:rFonts w:hint="eastAsia"/>
          <w:sz w:val="15"/>
          <w:szCs w:val="15"/>
        </w:rPr>
        <w:t xml:space="preserve">  </w:t>
      </w:r>
      <w:r>
        <w:rPr>
          <w:rFonts w:hint="eastAsia"/>
          <w:sz w:val="15"/>
          <w:szCs w:val="15"/>
          <w:lang w:val="en-US" w:eastAsia="zh-CN"/>
        </w:rPr>
        <w:t>冀A172DT</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