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徐新刚</w:t>
      </w:r>
      <w:r>
        <w:rPr>
          <w:rFonts w:hint="eastAsia"/>
          <w:sz w:val="15"/>
          <w:szCs w:val="15"/>
          <w:highlight w:val="none"/>
        </w:rPr>
        <w:t>，</w:t>
      </w:r>
      <w:r>
        <w:rPr>
          <w:rFonts w:hint="eastAsia"/>
          <w:sz w:val="15"/>
          <w:szCs w:val="15"/>
          <w:highlight w:val="none"/>
          <w:lang w:val="en-US" w:eastAsia="zh-CN"/>
        </w:rPr>
        <w:t>130131198306220651</w:t>
      </w:r>
      <w:r>
        <w:rPr>
          <w:rFonts w:hint="eastAsia"/>
          <w:sz w:val="15"/>
          <w:szCs w:val="15"/>
        </w:rPr>
        <w:t xml:space="preserve">  </w:t>
      </w:r>
      <w:r>
        <w:rPr>
          <w:rFonts w:hint="eastAsia"/>
          <w:sz w:val="15"/>
          <w:szCs w:val="15"/>
          <w:lang w:val="en-US" w:eastAsia="zh-CN"/>
        </w:rPr>
        <w:t>冀AM6041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