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刘学春</w:t>
      </w:r>
      <w:r>
        <w:rPr>
          <w:rFonts w:hint="eastAsia"/>
          <w:sz w:val="15"/>
          <w:szCs w:val="15"/>
          <w:highlight w:val="none"/>
        </w:rPr>
        <w:t>，</w:t>
      </w:r>
      <w:r>
        <w:rPr>
          <w:rFonts w:hint="eastAsia"/>
          <w:sz w:val="15"/>
          <w:szCs w:val="15"/>
          <w:highlight w:val="none"/>
          <w:lang w:val="en-US" w:eastAsia="zh-CN"/>
        </w:rPr>
        <w:t>13013119830601003X</w:t>
      </w:r>
      <w:r>
        <w:rPr>
          <w:rFonts w:hint="eastAsia"/>
          <w:sz w:val="15"/>
          <w:szCs w:val="15"/>
        </w:rPr>
        <w:t xml:space="preserve">  </w:t>
      </w:r>
      <w:r>
        <w:rPr>
          <w:rFonts w:hint="eastAsia"/>
          <w:sz w:val="15"/>
          <w:szCs w:val="15"/>
          <w:lang w:val="en-US" w:eastAsia="zh-CN"/>
        </w:rPr>
        <w:t>冀A08958D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