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万彦颖</w:t>
      </w:r>
      <w:r>
        <w:rPr>
          <w:rFonts w:hint="eastAsia"/>
          <w:sz w:val="15"/>
          <w:szCs w:val="15"/>
          <w:highlight w:val="none"/>
        </w:rPr>
        <w:t>，</w:t>
      </w:r>
      <w:r>
        <w:rPr>
          <w:rFonts w:hint="eastAsia"/>
          <w:sz w:val="15"/>
          <w:szCs w:val="15"/>
          <w:highlight w:val="none"/>
          <w:lang w:val="en-US" w:eastAsia="zh-CN"/>
        </w:rPr>
        <w:t>130131198303285716</w:t>
      </w:r>
      <w:r>
        <w:rPr>
          <w:rFonts w:hint="eastAsia"/>
          <w:sz w:val="15"/>
          <w:szCs w:val="15"/>
        </w:rPr>
        <w:t xml:space="preserve">  </w:t>
      </w:r>
      <w:r>
        <w:rPr>
          <w:rFonts w:hint="eastAsia"/>
          <w:sz w:val="15"/>
          <w:szCs w:val="15"/>
          <w:lang w:val="en-US" w:eastAsia="zh-CN"/>
        </w:rPr>
        <w:t>冀AS7995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