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王建朝</w:t>
      </w:r>
      <w:r>
        <w:rPr>
          <w:rFonts w:hint="eastAsia"/>
          <w:sz w:val="15"/>
          <w:szCs w:val="15"/>
          <w:highlight w:val="none"/>
        </w:rPr>
        <w:t>，</w:t>
      </w:r>
      <w:r>
        <w:rPr>
          <w:rFonts w:hint="eastAsia"/>
          <w:sz w:val="15"/>
          <w:szCs w:val="15"/>
          <w:highlight w:val="none"/>
          <w:lang w:val="en-US" w:eastAsia="zh-CN"/>
        </w:rPr>
        <w:t>130131198303270071</w:t>
      </w:r>
      <w:r>
        <w:rPr>
          <w:rFonts w:hint="eastAsia"/>
          <w:sz w:val="15"/>
          <w:szCs w:val="15"/>
        </w:rPr>
        <w:t xml:space="preserve">  </w:t>
      </w:r>
      <w:r>
        <w:rPr>
          <w:rFonts w:hint="eastAsia"/>
          <w:sz w:val="15"/>
          <w:szCs w:val="15"/>
          <w:lang w:val="en-US" w:eastAsia="zh-CN"/>
        </w:rPr>
        <w:t>冀ANX754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