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于贵龙</w:t>
      </w:r>
      <w:r>
        <w:rPr>
          <w:rFonts w:hint="eastAsia"/>
          <w:sz w:val="15"/>
          <w:szCs w:val="15"/>
          <w:highlight w:val="none"/>
        </w:rPr>
        <w:t>，</w:t>
      </w:r>
      <w:r>
        <w:rPr>
          <w:rFonts w:hint="eastAsia"/>
          <w:sz w:val="15"/>
          <w:szCs w:val="15"/>
          <w:highlight w:val="none"/>
          <w:lang w:val="en-US" w:eastAsia="zh-CN"/>
        </w:rPr>
        <w:t>130131198303110035</w:t>
      </w:r>
      <w:r>
        <w:rPr>
          <w:rFonts w:hint="eastAsia"/>
          <w:sz w:val="15"/>
          <w:szCs w:val="15"/>
        </w:rPr>
        <w:t xml:space="preserve">  </w:t>
      </w:r>
      <w:r>
        <w:rPr>
          <w:rFonts w:hint="eastAsia"/>
          <w:sz w:val="15"/>
          <w:szCs w:val="15"/>
          <w:lang w:val="en-US" w:eastAsia="zh-CN"/>
        </w:rPr>
        <w:t>冀AWD990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