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刘立伟</w:t>
      </w:r>
      <w:r>
        <w:rPr>
          <w:rFonts w:hint="eastAsia"/>
          <w:sz w:val="15"/>
          <w:szCs w:val="15"/>
          <w:highlight w:val="none"/>
        </w:rPr>
        <w:t>，</w:t>
      </w:r>
      <w:r>
        <w:rPr>
          <w:rFonts w:hint="eastAsia"/>
          <w:sz w:val="15"/>
          <w:szCs w:val="15"/>
          <w:highlight w:val="none"/>
          <w:lang w:val="en-US" w:eastAsia="zh-CN"/>
        </w:rPr>
        <w:t>130131198301061858</w:t>
      </w:r>
      <w:r>
        <w:rPr>
          <w:rFonts w:hint="eastAsia"/>
          <w:sz w:val="15"/>
          <w:szCs w:val="15"/>
        </w:rPr>
        <w:t xml:space="preserve">  </w:t>
      </w:r>
      <w:r>
        <w:rPr>
          <w:rFonts w:hint="eastAsia"/>
          <w:sz w:val="15"/>
          <w:szCs w:val="15"/>
          <w:lang w:val="en-US" w:eastAsia="zh-CN"/>
        </w:rPr>
        <w:t>冀T00211D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