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付东东</w:t>
      </w:r>
      <w:r>
        <w:rPr>
          <w:rFonts w:hint="eastAsia"/>
          <w:sz w:val="15"/>
          <w:szCs w:val="15"/>
          <w:highlight w:val="none"/>
        </w:rPr>
        <w:t>，</w:t>
      </w:r>
      <w:r>
        <w:rPr>
          <w:rFonts w:hint="eastAsia"/>
          <w:sz w:val="15"/>
          <w:szCs w:val="15"/>
          <w:highlight w:val="none"/>
          <w:lang w:val="en-US" w:eastAsia="zh-CN"/>
        </w:rPr>
        <w:t>13013119821015571X</w:t>
      </w:r>
      <w:r>
        <w:rPr>
          <w:rFonts w:hint="eastAsia"/>
          <w:sz w:val="15"/>
          <w:szCs w:val="15"/>
        </w:rPr>
        <w:t xml:space="preserve">  </w:t>
      </w:r>
      <w:r>
        <w:rPr>
          <w:rFonts w:hint="eastAsia"/>
          <w:sz w:val="15"/>
          <w:szCs w:val="15"/>
          <w:lang w:val="en-US" w:eastAsia="zh-CN"/>
        </w:rPr>
        <w:t>冀A80R14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