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康彦军</w:t>
      </w:r>
      <w:r>
        <w:rPr>
          <w:rFonts w:hint="eastAsia"/>
          <w:sz w:val="15"/>
          <w:szCs w:val="15"/>
          <w:highlight w:val="none"/>
        </w:rPr>
        <w:t>，</w:t>
      </w:r>
      <w:r>
        <w:rPr>
          <w:rFonts w:hint="eastAsia"/>
          <w:sz w:val="15"/>
          <w:szCs w:val="15"/>
          <w:highlight w:val="none"/>
          <w:lang w:val="en-US" w:eastAsia="zh-CN"/>
        </w:rPr>
        <w:t>130131198209110119</w:t>
      </w:r>
      <w:r>
        <w:rPr>
          <w:rFonts w:hint="eastAsia"/>
          <w:sz w:val="15"/>
          <w:szCs w:val="15"/>
        </w:rPr>
        <w:t xml:space="preserve">  </w:t>
      </w:r>
      <w:r>
        <w:rPr>
          <w:rFonts w:hint="eastAsia"/>
          <w:sz w:val="15"/>
          <w:szCs w:val="15"/>
          <w:lang w:val="en-US" w:eastAsia="zh-CN"/>
        </w:rPr>
        <w:t>冀A37780D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