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赵英辉</w:t>
      </w:r>
      <w:r>
        <w:rPr>
          <w:rFonts w:hint="eastAsia"/>
          <w:sz w:val="15"/>
          <w:szCs w:val="15"/>
          <w:highlight w:val="none"/>
        </w:rPr>
        <w:t>，</w:t>
      </w:r>
      <w:r>
        <w:rPr>
          <w:rFonts w:hint="eastAsia"/>
          <w:sz w:val="15"/>
          <w:szCs w:val="15"/>
          <w:highlight w:val="none"/>
          <w:lang w:val="en-US" w:eastAsia="zh-CN"/>
        </w:rPr>
        <w:t>130131198207033615</w:t>
      </w:r>
      <w:r>
        <w:rPr>
          <w:rFonts w:hint="eastAsia"/>
          <w:sz w:val="15"/>
          <w:szCs w:val="15"/>
        </w:rPr>
        <w:t xml:space="preserve">  </w:t>
      </w:r>
      <w:r>
        <w:rPr>
          <w:rFonts w:hint="eastAsia"/>
          <w:sz w:val="15"/>
          <w:szCs w:val="15"/>
          <w:lang w:val="en-US" w:eastAsia="zh-CN"/>
        </w:rPr>
        <w:t>冀A574EG</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