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封财贸</w:t>
      </w:r>
      <w:r>
        <w:rPr>
          <w:rFonts w:hint="eastAsia"/>
          <w:sz w:val="15"/>
          <w:szCs w:val="15"/>
          <w:highlight w:val="none"/>
        </w:rPr>
        <w:t>，</w:t>
      </w:r>
      <w:r>
        <w:rPr>
          <w:rFonts w:hint="eastAsia"/>
          <w:sz w:val="15"/>
          <w:szCs w:val="15"/>
          <w:highlight w:val="none"/>
          <w:lang w:val="en-US" w:eastAsia="zh-CN"/>
        </w:rPr>
        <w:t>130131198206183910</w:t>
      </w:r>
      <w:r>
        <w:rPr>
          <w:rFonts w:hint="eastAsia"/>
          <w:sz w:val="15"/>
          <w:szCs w:val="15"/>
        </w:rPr>
        <w:t xml:space="preserve">  </w:t>
      </w:r>
      <w:r>
        <w:rPr>
          <w:rFonts w:hint="eastAsia"/>
          <w:sz w:val="15"/>
          <w:szCs w:val="15"/>
          <w:lang w:val="en-US" w:eastAsia="zh-CN"/>
        </w:rPr>
        <w:t>冀A879VS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