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李波</w:t>
      </w:r>
      <w:r>
        <w:rPr>
          <w:rFonts w:hint="eastAsia"/>
          <w:sz w:val="15"/>
          <w:szCs w:val="15"/>
          <w:highlight w:val="none"/>
        </w:rPr>
        <w:t>，</w:t>
      </w:r>
      <w:r>
        <w:rPr>
          <w:rFonts w:hint="eastAsia"/>
          <w:sz w:val="15"/>
          <w:szCs w:val="15"/>
          <w:highlight w:val="none"/>
          <w:lang w:val="en-US" w:eastAsia="zh-CN"/>
        </w:rPr>
        <w:t>130131198206081236</w:t>
      </w:r>
      <w:r>
        <w:rPr>
          <w:rFonts w:hint="eastAsia"/>
          <w:sz w:val="15"/>
          <w:szCs w:val="15"/>
        </w:rPr>
        <w:t xml:space="preserve">  </w:t>
      </w:r>
      <w:r>
        <w:rPr>
          <w:rFonts w:hint="eastAsia"/>
          <w:sz w:val="15"/>
          <w:szCs w:val="15"/>
          <w:lang w:val="en-US" w:eastAsia="zh-CN"/>
        </w:rPr>
        <w:t>冀AQZ252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