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弓利波</w:t>
      </w:r>
      <w:r>
        <w:rPr>
          <w:rFonts w:hint="eastAsia"/>
          <w:sz w:val="15"/>
          <w:szCs w:val="15"/>
          <w:highlight w:val="none"/>
        </w:rPr>
        <w:t>，</w:t>
      </w:r>
      <w:r>
        <w:rPr>
          <w:rFonts w:hint="eastAsia"/>
          <w:sz w:val="15"/>
          <w:szCs w:val="15"/>
          <w:highlight w:val="none"/>
          <w:lang w:val="en-US" w:eastAsia="zh-CN"/>
        </w:rPr>
        <w:t>130131198205203916</w:t>
      </w:r>
      <w:r>
        <w:rPr>
          <w:rFonts w:hint="eastAsia"/>
          <w:sz w:val="15"/>
          <w:szCs w:val="15"/>
        </w:rPr>
        <w:t xml:space="preserve">  </w:t>
      </w:r>
      <w:r>
        <w:rPr>
          <w:rFonts w:hint="eastAsia"/>
          <w:sz w:val="15"/>
          <w:szCs w:val="15"/>
          <w:lang w:val="en-US" w:eastAsia="zh-CN"/>
        </w:rPr>
        <w:t>冀ASH380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