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周志明</w:t>
      </w:r>
      <w:r>
        <w:rPr>
          <w:rFonts w:hint="eastAsia"/>
          <w:sz w:val="15"/>
          <w:szCs w:val="15"/>
          <w:highlight w:val="none"/>
        </w:rPr>
        <w:t>，</w:t>
      </w:r>
      <w:r>
        <w:rPr>
          <w:rFonts w:hint="eastAsia"/>
          <w:sz w:val="15"/>
          <w:szCs w:val="15"/>
          <w:highlight w:val="none"/>
          <w:lang w:val="en-US" w:eastAsia="zh-CN"/>
        </w:rPr>
        <w:t>130131198205051510</w:t>
      </w:r>
      <w:r>
        <w:rPr>
          <w:rFonts w:hint="eastAsia"/>
          <w:sz w:val="15"/>
          <w:szCs w:val="15"/>
        </w:rPr>
        <w:t xml:space="preserve">  </w:t>
      </w:r>
      <w:r>
        <w:rPr>
          <w:rFonts w:hint="eastAsia"/>
          <w:sz w:val="15"/>
          <w:szCs w:val="15"/>
          <w:lang w:val="en-US" w:eastAsia="zh-CN"/>
        </w:rPr>
        <w:t>冀A80756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