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崔苏龙</w:t>
      </w:r>
      <w:r>
        <w:rPr>
          <w:rFonts w:hint="eastAsia"/>
          <w:sz w:val="15"/>
          <w:szCs w:val="15"/>
          <w:highlight w:val="none"/>
        </w:rPr>
        <w:t>，</w:t>
      </w:r>
      <w:r>
        <w:rPr>
          <w:rFonts w:hint="eastAsia"/>
          <w:sz w:val="15"/>
          <w:szCs w:val="15"/>
          <w:highlight w:val="none"/>
          <w:lang w:val="en-US" w:eastAsia="zh-CN"/>
        </w:rPr>
        <w:t>130131198204284216</w:t>
      </w:r>
      <w:r>
        <w:rPr>
          <w:rFonts w:hint="eastAsia"/>
          <w:sz w:val="15"/>
          <w:szCs w:val="15"/>
        </w:rPr>
        <w:t xml:space="preserve">  </w:t>
      </w:r>
      <w:r>
        <w:rPr>
          <w:rFonts w:hint="eastAsia"/>
          <w:sz w:val="15"/>
          <w:szCs w:val="15"/>
          <w:lang w:val="en-US" w:eastAsia="zh-CN"/>
        </w:rPr>
        <w:t>冀A2083U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