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郜二燕</w:t>
      </w:r>
      <w:r>
        <w:rPr>
          <w:rFonts w:hint="eastAsia"/>
          <w:sz w:val="15"/>
          <w:szCs w:val="15"/>
          <w:highlight w:val="none"/>
        </w:rPr>
        <w:t>，</w:t>
      </w:r>
      <w:r>
        <w:rPr>
          <w:rFonts w:hint="eastAsia"/>
          <w:sz w:val="15"/>
          <w:szCs w:val="15"/>
          <w:highlight w:val="none"/>
          <w:lang w:val="en-US" w:eastAsia="zh-CN"/>
        </w:rPr>
        <w:t>130131198204260919</w:t>
      </w:r>
      <w:r>
        <w:rPr>
          <w:rFonts w:hint="eastAsia"/>
          <w:sz w:val="15"/>
          <w:szCs w:val="15"/>
        </w:rPr>
        <w:t xml:space="preserve">  </w:t>
      </w:r>
      <w:r>
        <w:rPr>
          <w:rFonts w:hint="eastAsia"/>
          <w:sz w:val="15"/>
          <w:szCs w:val="15"/>
          <w:lang w:val="en-US" w:eastAsia="zh-CN"/>
        </w:rPr>
        <w:t>冀AJ6512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