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刘晓伟</w:t>
      </w:r>
      <w:r>
        <w:rPr>
          <w:rFonts w:hint="eastAsia"/>
          <w:sz w:val="15"/>
          <w:szCs w:val="15"/>
          <w:highlight w:val="none"/>
        </w:rPr>
        <w:t>，</w:t>
      </w:r>
      <w:r>
        <w:rPr>
          <w:rFonts w:hint="eastAsia"/>
          <w:sz w:val="15"/>
          <w:szCs w:val="15"/>
          <w:highlight w:val="none"/>
          <w:lang w:val="en-US" w:eastAsia="zh-CN"/>
        </w:rPr>
        <w:t>130131198203280619</w:t>
      </w:r>
      <w:r>
        <w:rPr>
          <w:rFonts w:hint="eastAsia"/>
          <w:sz w:val="15"/>
          <w:szCs w:val="15"/>
        </w:rPr>
        <w:t xml:space="preserve">  </w:t>
      </w:r>
      <w:r>
        <w:rPr>
          <w:rFonts w:hint="eastAsia"/>
          <w:sz w:val="15"/>
          <w:szCs w:val="15"/>
          <w:lang w:val="en-US" w:eastAsia="zh-CN"/>
        </w:rPr>
        <w:t>冀AES172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