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孙飞飞</w:t>
      </w:r>
      <w:r>
        <w:rPr>
          <w:rFonts w:hint="eastAsia"/>
          <w:sz w:val="15"/>
          <w:szCs w:val="15"/>
          <w:highlight w:val="none"/>
        </w:rPr>
        <w:t>，</w:t>
      </w:r>
      <w:r>
        <w:rPr>
          <w:rFonts w:hint="eastAsia"/>
          <w:sz w:val="15"/>
          <w:szCs w:val="15"/>
          <w:highlight w:val="none"/>
          <w:lang w:val="en-US" w:eastAsia="zh-CN"/>
        </w:rPr>
        <w:t>130131198203140077</w:t>
      </w:r>
      <w:r>
        <w:rPr>
          <w:rFonts w:hint="eastAsia"/>
          <w:sz w:val="15"/>
          <w:szCs w:val="15"/>
        </w:rPr>
        <w:t xml:space="preserve">  </w:t>
      </w:r>
      <w:r>
        <w:rPr>
          <w:rFonts w:hint="eastAsia"/>
          <w:sz w:val="15"/>
          <w:szCs w:val="15"/>
          <w:lang w:val="en-US" w:eastAsia="zh-CN"/>
        </w:rPr>
        <w:t>冀AWL133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