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智华军</w:t>
      </w:r>
      <w:r>
        <w:rPr>
          <w:rFonts w:hint="eastAsia"/>
          <w:sz w:val="15"/>
          <w:szCs w:val="15"/>
          <w:highlight w:val="none"/>
        </w:rPr>
        <w:t>，</w:t>
      </w:r>
      <w:r>
        <w:rPr>
          <w:rFonts w:hint="eastAsia"/>
          <w:sz w:val="15"/>
          <w:szCs w:val="15"/>
          <w:highlight w:val="none"/>
          <w:lang w:val="en-US" w:eastAsia="zh-CN"/>
        </w:rPr>
        <w:t>130131198202263913</w:t>
      </w:r>
      <w:r>
        <w:rPr>
          <w:rFonts w:hint="eastAsia"/>
          <w:sz w:val="15"/>
          <w:szCs w:val="15"/>
        </w:rPr>
        <w:t xml:space="preserve">  </w:t>
      </w:r>
      <w:r>
        <w:rPr>
          <w:rFonts w:hint="eastAsia"/>
          <w:sz w:val="15"/>
          <w:szCs w:val="15"/>
          <w:lang w:val="en-US" w:eastAsia="zh-CN"/>
        </w:rPr>
        <w:t>冀A2642V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