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张继</w:t>
      </w:r>
      <w:r>
        <w:rPr>
          <w:rFonts w:hint="eastAsia"/>
          <w:sz w:val="15"/>
          <w:szCs w:val="15"/>
          <w:highlight w:val="none"/>
        </w:rPr>
        <w:t>，</w:t>
      </w:r>
      <w:r>
        <w:rPr>
          <w:rFonts w:hint="eastAsia"/>
          <w:sz w:val="15"/>
          <w:szCs w:val="15"/>
          <w:highlight w:val="none"/>
          <w:lang w:val="en-US" w:eastAsia="zh-CN"/>
        </w:rPr>
        <w:t>130131198202010051</w:t>
      </w:r>
      <w:r>
        <w:rPr>
          <w:rFonts w:hint="eastAsia"/>
          <w:sz w:val="15"/>
          <w:szCs w:val="15"/>
        </w:rPr>
        <w:t xml:space="preserve">  </w:t>
      </w:r>
      <w:r>
        <w:rPr>
          <w:rFonts w:hint="eastAsia"/>
          <w:sz w:val="15"/>
          <w:szCs w:val="15"/>
          <w:lang w:val="en-US" w:eastAsia="zh-CN"/>
        </w:rPr>
        <w:t>冀ACB667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