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李二刚</w:t>
      </w:r>
      <w:r>
        <w:rPr>
          <w:rFonts w:hint="eastAsia"/>
          <w:sz w:val="15"/>
          <w:szCs w:val="15"/>
          <w:highlight w:val="none"/>
        </w:rPr>
        <w:t>，</w:t>
      </w:r>
      <w:r>
        <w:rPr>
          <w:rFonts w:hint="eastAsia"/>
          <w:sz w:val="15"/>
          <w:szCs w:val="15"/>
          <w:highlight w:val="none"/>
          <w:lang w:val="en-US" w:eastAsia="zh-CN"/>
        </w:rPr>
        <w:t>130131198201103918</w:t>
      </w:r>
      <w:r>
        <w:rPr>
          <w:rFonts w:hint="eastAsia"/>
          <w:sz w:val="15"/>
          <w:szCs w:val="15"/>
        </w:rPr>
        <w:t xml:space="preserve">  </w:t>
      </w:r>
      <w:r>
        <w:rPr>
          <w:rFonts w:hint="eastAsia"/>
          <w:sz w:val="15"/>
          <w:szCs w:val="15"/>
          <w:lang w:val="en-US" w:eastAsia="zh-CN"/>
        </w:rPr>
        <w:t>冀A1840W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